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LT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 PRIEDAS</w:t>
      </w:r>
    </w:p>
    <w:p w14:paraId="30547FF9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 PRIEDAS</w:t>
      </w:r>
    </w:p>
    <w:p w14:paraId="34BE32D9" w14:textId="77777777" w:rsidR="00B376B6" w:rsidRPr="00037E7B" w:rsidRDefault="00B376B6" w:rsidP="00B376B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INFORMACIJOS APIE NUOSAVAS LĖŠAS IR NUOSAVŲ LĖŠŲ REIKALAVIMUS TEIKIMO NURODYMAI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 DALIS.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NURODYMAI DĖL FORMŲ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u w:val="single"/>
          <w:rFonts w:ascii="Times New Roman" w:hAnsi="Times New Roman"/>
        </w:rPr>
        <w:t xml:space="preserve">C 36.00. KRIPTOTURTO POZICIJOS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10.1. Bendrosios pastabos</w:t>
      </w:r>
    </w:p>
    <w:p w14:paraId="6942FA35" w14:textId="77777777" w:rsidR="005F103E" w:rsidRDefault="005F103E" w:rsidP="00CF4FBC">
      <w:pPr>
        <w:pStyle w:val="InstructionsText2"/>
      </w:pPr>
      <w:r>
        <w:t xml:space="preserve">Šioje formoje pateikiama informacija apie kriptoturto pozicijas, kaip reikalaujama pagal Reglamento (ES) 575/2013 501d straipsnio 2 ir 3 dalis.</w:t>
      </w:r>
    </w:p>
    <w:p w14:paraId="4985A436" w14:textId="77777777" w:rsidR="005F103E" w:rsidRDefault="005F103E" w:rsidP="005F103E">
      <w:pPr>
        <w:pStyle w:val="InstructionsText2"/>
      </w:pPr>
      <w:r>
        <w:t xml:space="preserve">Kriptoturto pozicijos nurodomos tik šioje formoje.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 xml:space="preserve">10.2. Nurodymai dėl konkrečių pozicijų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 xml:space="preserve">Skiltis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 xml:space="preserve">Nuorodos į teisės aktus ir nurodymai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Pozicijos vertė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Reglamento (ES) Nr. 575/2013 </w:t>
            </w:r>
            <w:r>
              <w:rPr>
                <w:u w:val="single"/>
              </w:rPr>
              <w:t xml:space="preserve">501d straipsnio 2 dalyje</w:t>
            </w:r>
            <w:r>
              <w:t xml:space="preserve"> nurodytų skirtingų kriptoturto rūšių kriptoturto pozicijų vertė.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Pagal riziką įvertintų pozicijų sumos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 xml:space="preserve">Reglamento (ES) Nr. 575/2013 501d straipsnio 2 dalis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Pagal riziką įvertintų įvairių rūšių kriptoturto pozicijų sumos, apskaičiuotos pagal</w:t>
            </w:r>
            <w:r>
              <w:t xml:space="preserve"> Reglamento (ES) Nr. 575/2013 501d straipsnio 2 dalį.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 xml:space="preserve">Eilutė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 xml:space="preserve">Nuorodos į teisės aktus ir nurodymai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Bendra pozicijų suma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Bendra vertė apskaičiuojama kaip 0020, 0030 ir 0040 eilučių suma.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0020 skilties vertė yra lygi bendrai rizikos pozicijos sumai, nurodytai C 02.00 formos (Nuosavų lėšų reikalavimai) 0780 skiltyje.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Kriptoturto pozicijos, susijusios su į žetonus konvertuotu (tokenizuotu) tradiciniu turtu</w:t>
            </w: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t xml:space="preserve">Reglamento (ES) Nr. 575/2013 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501d straipsnio 2 dalies a punktas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 xml:space="preserve"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 turtu susietų žetonų pozicijos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Reglamento (ES) Nr. 575/2013 501d straipsnio 2 dalies b punktas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 xml:space="preserve"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Kito kriptoturto pozicijos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t xml:space="preserve">Reglamento (ES) Nr. 575/2013 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501d straipsnio 2 dalies c punktas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u w:val="none"/>
              </w:rPr>
              <w:t xml:space="preserve">Kitos kriptoturto pozicijos, kurios skiriasi nuo nurodytųjų Reglamento (ES) Nr. 575/2013</w:t>
            </w:r>
            <w:r>
              <w:t xml:space="preserve"> 501d straipsnio 2 dalies a ir b punktuose.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 xml:space="preserve">Eilutė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Papildomi straipsniai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 xml:space="preserve"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Kito kriptoturto pozicijos, išreikštos įstaigų T1 kapitalo procentine dalimi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Reglamento (ES) Nr. 575/2013 501d straipsnio 3 dalis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lt-L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lt-L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lt-L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lt-LT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lt-LT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lt-LT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lt-LT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lt-L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lt-L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lt-L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lt-L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lt-LT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lt-LT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lt-LT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lt-LT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lt-LT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lt-LT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lt-L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lt-LT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lt-L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lt-LT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lt-LT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lt-L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lt-LT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lt-L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lt-LT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lt-LT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lt-L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lt-L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lt-L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lt-L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lt-LT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lt-LT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lt-LT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lt-LT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lt-LT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lt-LT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lt-LT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lt-LT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t-LT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lt-LT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lt-LT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lt-LT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lt-LT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lt-LT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lt-LT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lt-LT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t-LT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t-L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lt-LT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lt-LT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lt-LT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t-LT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t-LT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t-LT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t-L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lt-LT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lt-L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lt-LT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11E56-BC49-4451-BE2E-148418BF1290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